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63013" cy="9121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013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BOTULINUM</w:t>
      </w:r>
      <w:r>
        <w:rPr>
          <w:rFonts w:ascii="Times New Roman"/>
          <w:b w:val="0"/>
          <w:spacing w:val="-8"/>
        </w:rPr>
        <w:t> </w:t>
      </w:r>
      <w:r>
        <w:rPr/>
        <w:t>TOXIN</w:t>
      </w:r>
      <w:r>
        <w:rPr>
          <w:rFonts w:ascii="Times New Roman"/>
          <w:b w:val="0"/>
          <w:spacing w:val="-5"/>
        </w:rPr>
        <w:t> </w:t>
      </w:r>
      <w:r>
        <w:rPr/>
        <w:t>PRE-TREATMENT</w:t>
      </w:r>
      <w:r>
        <w:rPr>
          <w:rFonts w:ascii="Times New Roman"/>
          <w:b w:val="0"/>
          <w:spacing w:val="-5"/>
        </w:rPr>
        <w:t> </w:t>
      </w:r>
      <w:r>
        <w:rPr>
          <w:spacing w:val="-2"/>
        </w:rPr>
        <w:t>INSTRUCTIONS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BodyText"/>
        <w:spacing w:line="312" w:lineRule="auto"/>
        <w:ind w:left="1640" w:right="1677"/>
        <w:jc w:val="both"/>
      </w:pPr>
      <w:r>
        <w:rPr/>
        <w:t>Please</w:t>
      </w:r>
      <w:r>
        <w:rPr>
          <w:rFonts w:ascii="Times New Roman"/>
        </w:rPr>
        <w:t> </w:t>
      </w:r>
      <w:r>
        <w:rPr/>
        <w:t>review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adhere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following</w:t>
      </w:r>
      <w:r>
        <w:rPr>
          <w:rFonts w:ascii="Times New Roman"/>
        </w:rPr>
        <w:t> </w:t>
      </w:r>
      <w:r>
        <w:rPr/>
        <w:t>pre-treatment</w:t>
      </w:r>
      <w:r>
        <w:rPr>
          <w:rFonts w:ascii="Times New Roman"/>
        </w:rPr>
        <w:t> </w:t>
      </w:r>
      <w:r>
        <w:rPr/>
        <w:t>guidelines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preparation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botulinum</w:t>
      </w:r>
      <w:r>
        <w:rPr>
          <w:rFonts w:ascii="Times New Roman"/>
        </w:rPr>
        <w:t> </w:t>
      </w:r>
      <w:r>
        <w:rPr/>
        <w:t>toxin</w:t>
      </w:r>
      <w:r>
        <w:rPr>
          <w:rFonts w:ascii="Times New Roman"/>
        </w:rPr>
        <w:t> </w:t>
      </w:r>
      <w:r>
        <w:rPr/>
        <w:t>appointment.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following</w:t>
      </w:r>
      <w:r>
        <w:rPr>
          <w:rFonts w:ascii="Times New Roman"/>
        </w:rPr>
        <w:t> </w:t>
      </w:r>
      <w:r>
        <w:rPr/>
        <w:t>restrictions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place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minimize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risk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potential</w:t>
      </w:r>
      <w:r>
        <w:rPr>
          <w:rFonts w:ascii="Times New Roman"/>
        </w:rPr>
        <w:t> </w:t>
      </w:r>
      <w:r>
        <w:rPr/>
        <w:t>complications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361" w:val="left" w:leader="none"/>
        </w:tabs>
        <w:spacing w:line="297" w:lineRule="auto" w:before="1" w:after="0"/>
        <w:ind w:left="2360" w:right="1677" w:hanging="360"/>
        <w:jc w:val="both"/>
        <w:rPr>
          <w:sz w:val="24"/>
        </w:rPr>
      </w:pPr>
      <w:r>
        <w:rPr>
          <w:sz w:val="24"/>
        </w:rPr>
        <w:t>Patient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must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be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good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health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with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active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skin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infections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treatment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area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361" w:val="left" w:leader="none"/>
        </w:tabs>
        <w:spacing w:line="297" w:lineRule="auto" w:before="0" w:after="0"/>
        <w:ind w:left="2360" w:right="1677" w:hanging="360"/>
        <w:jc w:val="both"/>
        <w:rPr>
          <w:sz w:val="24"/>
        </w:rPr>
      </w:pPr>
      <w:r>
        <w:rPr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alcoholic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caffeinated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beverages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least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24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treatment.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Alcohol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may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thin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blood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which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will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increase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risk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bruising.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361" w:val="left" w:leader="none"/>
        </w:tabs>
        <w:spacing w:line="309" w:lineRule="auto" w:before="0" w:after="0"/>
        <w:ind w:left="2360" w:right="1677" w:hanging="360"/>
        <w:jc w:val="both"/>
        <w:rPr>
          <w:sz w:val="24"/>
        </w:rPr>
      </w:pPr>
      <w:r>
        <w:rPr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anti-inflammatory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/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blood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thinning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medications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ideally,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period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two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(2)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weeks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before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few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following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Medications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supplements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such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Aspirin,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Vitamin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Ginkgo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Biloba,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St.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John’s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Wort,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Ibuprofen,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Motrin,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Advil,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Aleve,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Vioxx,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other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NSAIDS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all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cause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thinning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blood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can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increase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risk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bruising/swelling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after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injections.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361" w:val="left" w:leader="none"/>
        </w:tabs>
        <w:spacing w:line="297" w:lineRule="auto" w:before="0" w:after="0"/>
        <w:ind w:left="2360" w:right="1677" w:hanging="360"/>
        <w:jc w:val="both"/>
        <w:rPr>
          <w:sz w:val="24"/>
        </w:rPr>
      </w:pPr>
      <w:r>
        <w:rPr>
          <w:sz w:val="24"/>
        </w:rPr>
        <w:t>Schedule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botulinum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toxin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appointments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at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least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2-4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weeks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prior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special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event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having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bruising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event.</w:t>
      </w:r>
    </w:p>
    <w:sectPr>
      <w:type w:val="continuous"/>
      <w:pgSz w:w="12240" w:h="15840"/>
      <w:pgMar w:top="1820" w:bottom="280" w:left="1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36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5"/>
      <w:ind w:left="1825" w:right="1861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60" w:right="1677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Botulinum Toxin Pre-Treatment Instructions.docx</dc:title>
  <dcterms:created xsi:type="dcterms:W3CDTF">2023-05-04T15:40:06Z</dcterms:created>
  <dcterms:modified xsi:type="dcterms:W3CDTF">2023-05-04T15:40:06Z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